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D3167" w14:textId="1F82D715" w:rsidR="009F7C6F" w:rsidRPr="004E7946" w:rsidRDefault="009E271B" w:rsidP="009E271B">
      <w:pPr>
        <w:jc w:val="center"/>
        <w:rPr>
          <w:rFonts w:ascii="Myriad Pro" w:hAnsi="Myriad Pro"/>
          <w:b/>
          <w:bCs/>
          <w:sz w:val="32"/>
          <w:szCs w:val="32"/>
        </w:rPr>
      </w:pPr>
      <w:r w:rsidRPr="004E7946">
        <w:rPr>
          <w:rFonts w:ascii="Myriad Pro" w:hAnsi="Myriad Pro"/>
          <w:b/>
          <w:bCs/>
          <w:sz w:val="32"/>
          <w:szCs w:val="32"/>
        </w:rPr>
        <w:t xml:space="preserve">Discharge Information - </w:t>
      </w:r>
      <w:r w:rsidR="009F7C6F" w:rsidRPr="004E7946">
        <w:rPr>
          <w:rFonts w:ascii="Myriad Pro" w:hAnsi="Myriad Pro"/>
          <w:b/>
          <w:bCs/>
          <w:sz w:val="32"/>
          <w:szCs w:val="32"/>
        </w:rPr>
        <w:t xml:space="preserve">Basics of </w:t>
      </w:r>
      <w:r w:rsidR="007F3A6F" w:rsidRPr="004E7946">
        <w:rPr>
          <w:rFonts w:ascii="Myriad Pro" w:hAnsi="Myriad Pro"/>
          <w:b/>
          <w:bCs/>
          <w:sz w:val="32"/>
          <w:szCs w:val="32"/>
        </w:rPr>
        <w:t xml:space="preserve">the </w:t>
      </w:r>
      <w:r w:rsidR="009F7C6F" w:rsidRPr="004E7946">
        <w:rPr>
          <w:rFonts w:ascii="Myriad Pro" w:hAnsi="Myriad Pro"/>
          <w:b/>
          <w:bCs/>
          <w:sz w:val="32"/>
          <w:szCs w:val="32"/>
        </w:rPr>
        <w:t>post op</w:t>
      </w:r>
      <w:r w:rsidR="007F3A6F" w:rsidRPr="004E7946">
        <w:rPr>
          <w:rFonts w:ascii="Myriad Pro" w:hAnsi="Myriad Pro"/>
          <w:b/>
          <w:bCs/>
          <w:sz w:val="32"/>
          <w:szCs w:val="32"/>
        </w:rPr>
        <w:t>erative</w:t>
      </w:r>
      <w:r w:rsidR="009F7C6F" w:rsidRPr="004E7946">
        <w:rPr>
          <w:rFonts w:ascii="Myriad Pro" w:hAnsi="Myriad Pro"/>
          <w:b/>
          <w:bCs/>
          <w:sz w:val="32"/>
          <w:szCs w:val="32"/>
        </w:rPr>
        <w:t xml:space="preserve"> diet</w:t>
      </w:r>
    </w:p>
    <w:p w14:paraId="7981F42D" w14:textId="77777777" w:rsidR="009E271B" w:rsidRPr="004E7946" w:rsidRDefault="009E271B" w:rsidP="009E271B">
      <w:pPr>
        <w:jc w:val="center"/>
        <w:rPr>
          <w:rFonts w:ascii="Myriad Pro" w:hAnsi="Myriad Pro"/>
          <w:b/>
          <w:bCs/>
        </w:rPr>
      </w:pPr>
    </w:p>
    <w:p w14:paraId="65D12CFF" w14:textId="35E36F4B" w:rsidR="009F7C6F" w:rsidRPr="004E7946" w:rsidRDefault="009F7C6F" w:rsidP="009F7C6F">
      <w:pPr>
        <w:rPr>
          <w:rFonts w:ascii="Myriad Pro" w:hAnsi="Myriad Pro"/>
        </w:rPr>
      </w:pPr>
      <w:r w:rsidRPr="004E7946">
        <w:rPr>
          <w:rFonts w:ascii="Myriad Pro" w:hAnsi="Myriad Pro"/>
        </w:rPr>
        <w:t xml:space="preserve">Dietary phases should be comprehensively covered </w:t>
      </w:r>
      <w:r w:rsidR="00DC29B2" w:rsidRPr="004E7946">
        <w:rPr>
          <w:rFonts w:ascii="Myriad Pro" w:hAnsi="Myriad Pro"/>
        </w:rPr>
        <w:t xml:space="preserve">by your pre and </w:t>
      </w:r>
      <w:proofErr w:type="spellStart"/>
      <w:r w:rsidR="00DC29B2" w:rsidRPr="004E7946">
        <w:rPr>
          <w:rFonts w:ascii="Myriad Pro" w:hAnsi="Myriad Pro"/>
        </w:rPr>
        <w:t>post surgery</w:t>
      </w:r>
      <w:proofErr w:type="spellEnd"/>
      <w:r w:rsidRPr="004E7946">
        <w:rPr>
          <w:rFonts w:ascii="Myriad Pro" w:hAnsi="Myriad Pro"/>
        </w:rPr>
        <w:t xml:space="preserve"> dietician consultations.  The following represents only a brief overview </w:t>
      </w:r>
      <w:r w:rsidR="00DC29B2" w:rsidRPr="004E7946">
        <w:rPr>
          <w:rFonts w:ascii="Myriad Pro" w:hAnsi="Myriad Pro"/>
        </w:rPr>
        <w:t>to focus your attention on the key points</w:t>
      </w:r>
      <w:r w:rsidRPr="004E7946">
        <w:rPr>
          <w:rFonts w:ascii="Myriad Pro" w:hAnsi="Myriad Pro"/>
        </w:rPr>
        <w:t>.  For further details and discussion please contact your dietician for advice</w:t>
      </w:r>
      <w:r w:rsidR="00DC29B2" w:rsidRPr="004E7946">
        <w:rPr>
          <w:rFonts w:ascii="Myriad Pro" w:hAnsi="Myriad Pro"/>
        </w:rPr>
        <w:t xml:space="preserve"> or access your written resources. </w:t>
      </w:r>
    </w:p>
    <w:p w14:paraId="24B822E2" w14:textId="77777777" w:rsidR="009F7C6F" w:rsidRPr="004E7946" w:rsidRDefault="009F7C6F" w:rsidP="009F7C6F">
      <w:pPr>
        <w:rPr>
          <w:rFonts w:ascii="Myriad Pro" w:hAnsi="Myriad Pro"/>
        </w:rPr>
      </w:pPr>
      <w:r w:rsidRPr="004E7946">
        <w:rPr>
          <w:rFonts w:ascii="Myriad Pro" w:hAnsi="Myriad Pro"/>
        </w:rPr>
        <w:t>I would encourage you not to over-think your food decisions and behaviours too much.  Worrying too much about every gram of protein or every drink/texture will only lead to severe anxiety setting in!</w:t>
      </w:r>
    </w:p>
    <w:p w14:paraId="471EEF53" w14:textId="77777777" w:rsidR="009F7C6F" w:rsidRPr="004E7946" w:rsidRDefault="009F7C6F" w:rsidP="009F7C6F">
      <w:pPr>
        <w:rPr>
          <w:rFonts w:ascii="Myriad Pro" w:hAnsi="Myriad Pro"/>
        </w:rPr>
      </w:pPr>
    </w:p>
    <w:p w14:paraId="3234769C" w14:textId="27C3AF93" w:rsidR="009F7C6F" w:rsidRPr="004E7946" w:rsidRDefault="009F7C6F" w:rsidP="009F7C6F">
      <w:pPr>
        <w:rPr>
          <w:rFonts w:ascii="Myriad Pro" w:hAnsi="Myriad Pro"/>
          <w:b/>
          <w:bCs/>
        </w:rPr>
      </w:pPr>
      <w:r w:rsidRPr="004E7946">
        <w:rPr>
          <w:rFonts w:ascii="Myriad Pro" w:hAnsi="Myriad Pro"/>
          <w:b/>
          <w:bCs/>
        </w:rPr>
        <w:t>These basic rules apply to most patients after bariatric procedures</w:t>
      </w:r>
      <w:r w:rsidR="007F3A6F" w:rsidRPr="004E7946">
        <w:rPr>
          <w:rFonts w:ascii="Myriad Pro" w:hAnsi="Myriad Pro"/>
          <w:b/>
          <w:bCs/>
        </w:rPr>
        <w:t>:</w:t>
      </w:r>
    </w:p>
    <w:p w14:paraId="09453EFB" w14:textId="77777777" w:rsidR="009F7C6F" w:rsidRPr="004E7946" w:rsidRDefault="009F7C6F" w:rsidP="009F7C6F">
      <w:pPr>
        <w:pStyle w:val="ListParagraph"/>
        <w:numPr>
          <w:ilvl w:val="0"/>
          <w:numId w:val="2"/>
        </w:numPr>
        <w:rPr>
          <w:rFonts w:ascii="Myriad Pro" w:hAnsi="Myriad Pro"/>
          <w:b/>
          <w:bCs/>
        </w:rPr>
      </w:pPr>
      <w:r w:rsidRPr="004E7946">
        <w:rPr>
          <w:rFonts w:ascii="Myriad Pro" w:hAnsi="Myriad Pro"/>
          <w:b/>
          <w:bCs/>
        </w:rPr>
        <w:t xml:space="preserve">Two weeks liquid diet (thin liquids) – </w:t>
      </w:r>
      <w:r w:rsidRPr="004E7946">
        <w:rPr>
          <w:rFonts w:ascii="Myriad Pro" w:hAnsi="Myriad Pro"/>
          <w:i/>
          <w:iCs/>
        </w:rPr>
        <w:t>followed by…</w:t>
      </w:r>
    </w:p>
    <w:p w14:paraId="408DCE58" w14:textId="77777777" w:rsidR="009F7C6F" w:rsidRPr="004E7946" w:rsidRDefault="009F7C6F" w:rsidP="009F7C6F">
      <w:pPr>
        <w:pStyle w:val="ListParagraph"/>
        <w:numPr>
          <w:ilvl w:val="0"/>
          <w:numId w:val="2"/>
        </w:numPr>
        <w:rPr>
          <w:rFonts w:ascii="Myriad Pro" w:hAnsi="Myriad Pro"/>
          <w:b/>
          <w:bCs/>
        </w:rPr>
      </w:pPr>
      <w:r w:rsidRPr="004E7946">
        <w:rPr>
          <w:rFonts w:ascii="Myriad Pro" w:hAnsi="Myriad Pro"/>
          <w:b/>
          <w:bCs/>
        </w:rPr>
        <w:t>Two weeks pureed/mashed type foods –</w:t>
      </w:r>
      <w:r w:rsidRPr="004E7946">
        <w:rPr>
          <w:rFonts w:ascii="Myriad Pro" w:hAnsi="Myriad Pro"/>
        </w:rPr>
        <w:t xml:space="preserve"> </w:t>
      </w:r>
      <w:r w:rsidRPr="004E7946">
        <w:rPr>
          <w:rFonts w:ascii="Myriad Pro" w:hAnsi="Myriad Pro"/>
          <w:i/>
          <w:iCs/>
        </w:rPr>
        <w:t>followed by…</w:t>
      </w:r>
    </w:p>
    <w:p w14:paraId="1B31D16D" w14:textId="77777777" w:rsidR="009F7C6F" w:rsidRPr="004E7946" w:rsidRDefault="009F7C6F" w:rsidP="009F7C6F">
      <w:pPr>
        <w:pStyle w:val="ListParagraph"/>
        <w:numPr>
          <w:ilvl w:val="0"/>
          <w:numId w:val="2"/>
        </w:numPr>
        <w:rPr>
          <w:rFonts w:ascii="Myriad Pro" w:hAnsi="Myriad Pro"/>
          <w:b/>
          <w:bCs/>
        </w:rPr>
      </w:pPr>
      <w:r w:rsidRPr="004E7946">
        <w:rPr>
          <w:rFonts w:ascii="Myriad Pro" w:hAnsi="Myriad Pro"/>
          <w:b/>
          <w:bCs/>
        </w:rPr>
        <w:t>Slow introduction of normal solid foods starting with easier textures</w:t>
      </w:r>
    </w:p>
    <w:p w14:paraId="613BF2B3" w14:textId="77777777" w:rsidR="009F7C6F" w:rsidRPr="004E7946" w:rsidRDefault="009F7C6F" w:rsidP="009F7C6F">
      <w:pPr>
        <w:rPr>
          <w:rFonts w:ascii="Myriad Pro" w:hAnsi="Myriad Pro"/>
        </w:rPr>
      </w:pPr>
    </w:p>
    <w:p w14:paraId="07612BB7" w14:textId="19336A47" w:rsidR="009F7C6F" w:rsidRPr="004E7946" w:rsidRDefault="009F7C6F" w:rsidP="009F7C6F">
      <w:pPr>
        <w:rPr>
          <w:rFonts w:ascii="Myriad Pro" w:hAnsi="Myriad Pro"/>
          <w:b/>
          <w:bCs/>
        </w:rPr>
      </w:pPr>
      <w:r w:rsidRPr="004E7946">
        <w:rPr>
          <w:rFonts w:ascii="Myriad Pro" w:hAnsi="Myriad Pro"/>
          <w:b/>
          <w:bCs/>
        </w:rPr>
        <w:t>Key points</w:t>
      </w:r>
      <w:r w:rsidR="007F3A6F" w:rsidRPr="004E7946">
        <w:rPr>
          <w:rFonts w:ascii="Myriad Pro" w:hAnsi="Myriad Pro"/>
          <w:b/>
          <w:bCs/>
        </w:rPr>
        <w:t xml:space="preserve"> </w:t>
      </w:r>
    </w:p>
    <w:p w14:paraId="35D6C8D9"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 xml:space="preserve">Liquids, purees, solids should be </w:t>
      </w:r>
      <w:r w:rsidRPr="004E7946">
        <w:rPr>
          <w:rFonts w:ascii="Myriad Pro" w:hAnsi="Myriad Pro"/>
          <w:u w:val="single"/>
        </w:rPr>
        <w:t>nourishing</w:t>
      </w:r>
      <w:r w:rsidRPr="004E7946">
        <w:rPr>
          <w:rFonts w:ascii="Myriad Pro" w:hAnsi="Myriad Pro"/>
        </w:rPr>
        <w:t xml:space="preserve">.  i.e. not just water or cordial or juice etc.  </w:t>
      </w:r>
    </w:p>
    <w:p w14:paraId="0BE3FD9C"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Go slowly, stop if you feel full or about to vomit</w:t>
      </w:r>
    </w:p>
    <w:p w14:paraId="4484F5CE"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You will need to work hard to hydrate yourself properly in the early stages – keep sipping away throughout the day</w:t>
      </w:r>
    </w:p>
    <w:p w14:paraId="3BD6B927"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 xml:space="preserve">Avoid gulps of liquids with solid meals.  Separate drinking from eating by about 30 minutes before and after.  Catch up on hydration in between solid meals. </w:t>
      </w:r>
    </w:p>
    <w:p w14:paraId="3789D46D"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Sitting up makes it easier to get liquid and food down</w:t>
      </w:r>
    </w:p>
    <w:p w14:paraId="3DA72979" w14:textId="3AAA2A5B" w:rsidR="009F7C6F" w:rsidRPr="004E7946" w:rsidRDefault="009F7C6F" w:rsidP="009F7C6F">
      <w:pPr>
        <w:pStyle w:val="ListParagraph"/>
        <w:numPr>
          <w:ilvl w:val="0"/>
          <w:numId w:val="3"/>
        </w:numPr>
        <w:rPr>
          <w:rFonts w:ascii="Myriad Pro" w:hAnsi="Myriad Pro"/>
        </w:rPr>
      </w:pPr>
      <w:r w:rsidRPr="004E7946">
        <w:rPr>
          <w:rFonts w:ascii="Myriad Pro" w:hAnsi="Myriad Pro"/>
        </w:rPr>
        <w:t xml:space="preserve">For solid foods, half a cup is usually sufficient in the first </w:t>
      </w:r>
      <w:r w:rsidR="009E271B" w:rsidRPr="004E7946">
        <w:rPr>
          <w:rFonts w:ascii="Myriad Pro" w:hAnsi="Myriad Pro"/>
        </w:rPr>
        <w:t>few</w:t>
      </w:r>
      <w:r w:rsidRPr="004E7946">
        <w:rPr>
          <w:rFonts w:ascii="Myriad Pro" w:hAnsi="Myriad Pro"/>
        </w:rPr>
        <w:t xml:space="preserve"> months</w:t>
      </w:r>
    </w:p>
    <w:p w14:paraId="50EED28F"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Don’t keep picking away at your meal for more than 10 minutes – this should be as much time as necessary to complete a meal.</w:t>
      </w:r>
    </w:p>
    <w:p w14:paraId="75109C5A" w14:textId="77777777" w:rsidR="009F7C6F" w:rsidRPr="004E7946" w:rsidRDefault="009F7C6F" w:rsidP="009F7C6F">
      <w:pPr>
        <w:pStyle w:val="ListParagraph"/>
        <w:numPr>
          <w:ilvl w:val="0"/>
          <w:numId w:val="3"/>
        </w:numPr>
        <w:rPr>
          <w:rFonts w:ascii="Myriad Pro" w:hAnsi="Myriad Pro"/>
        </w:rPr>
      </w:pPr>
      <w:r w:rsidRPr="004E7946">
        <w:rPr>
          <w:rFonts w:ascii="Myriad Pro" w:hAnsi="Myriad Pro"/>
        </w:rPr>
        <w:t>Ensure you have a high component of protein in your diet</w:t>
      </w:r>
    </w:p>
    <w:p w14:paraId="194B11D3" w14:textId="6395CAFC" w:rsidR="009F7C6F" w:rsidRPr="004E7946" w:rsidRDefault="009F7C6F" w:rsidP="009F7C6F">
      <w:pPr>
        <w:pStyle w:val="ListParagraph"/>
        <w:numPr>
          <w:ilvl w:val="0"/>
          <w:numId w:val="3"/>
        </w:numPr>
        <w:rPr>
          <w:rFonts w:ascii="Myriad Pro" w:hAnsi="Myriad Pro"/>
        </w:rPr>
      </w:pPr>
      <w:r w:rsidRPr="004E7946">
        <w:rPr>
          <w:rFonts w:ascii="Myriad Pro" w:hAnsi="Myriad Pro"/>
        </w:rPr>
        <w:t>Start your vitamins usually within two weeks of surgery, as d</w:t>
      </w:r>
      <w:r w:rsidR="009E271B" w:rsidRPr="004E7946">
        <w:rPr>
          <w:rFonts w:ascii="Myriad Pro" w:hAnsi="Myriad Pro"/>
        </w:rPr>
        <w:t>iscu</w:t>
      </w:r>
      <w:r w:rsidRPr="004E7946">
        <w:rPr>
          <w:rFonts w:ascii="Myriad Pro" w:hAnsi="Myriad Pro"/>
        </w:rPr>
        <w:t>ssed with your dietician</w:t>
      </w:r>
    </w:p>
    <w:p w14:paraId="6FF77922" w14:textId="5A1B8C69" w:rsidR="009F7C6F" w:rsidRPr="004E7946" w:rsidRDefault="009F7C6F" w:rsidP="009F7C6F">
      <w:pPr>
        <w:pStyle w:val="ListParagraph"/>
        <w:numPr>
          <w:ilvl w:val="0"/>
          <w:numId w:val="3"/>
        </w:numPr>
        <w:rPr>
          <w:rFonts w:ascii="Myriad Pro" w:hAnsi="Myriad Pro"/>
        </w:rPr>
      </w:pPr>
      <w:r w:rsidRPr="004E7946">
        <w:rPr>
          <w:rFonts w:ascii="Myriad Pro" w:hAnsi="Myriad Pro"/>
        </w:rPr>
        <w:t>If you are not tolerating your vit</w:t>
      </w:r>
      <w:r w:rsidR="009E271B" w:rsidRPr="004E7946">
        <w:rPr>
          <w:rFonts w:ascii="Myriad Pro" w:hAnsi="Myriad Pro"/>
        </w:rPr>
        <w:t>a</w:t>
      </w:r>
      <w:r w:rsidRPr="004E7946">
        <w:rPr>
          <w:rFonts w:ascii="Myriad Pro" w:hAnsi="Myriad Pro"/>
        </w:rPr>
        <w:t xml:space="preserve">mins, make contact with your dietician to discuss </w:t>
      </w:r>
      <w:r w:rsidR="009E271B" w:rsidRPr="004E7946">
        <w:rPr>
          <w:rFonts w:ascii="Myriad Pro" w:hAnsi="Myriad Pro"/>
        </w:rPr>
        <w:t>alternatives</w:t>
      </w:r>
    </w:p>
    <w:p w14:paraId="03EEF103" w14:textId="77777777" w:rsidR="009F7C6F" w:rsidRPr="004E7946" w:rsidRDefault="009F7C6F" w:rsidP="009F7C6F">
      <w:pPr>
        <w:rPr>
          <w:rFonts w:ascii="Myriad Pro" w:hAnsi="Myriad Pro"/>
        </w:rPr>
      </w:pPr>
    </w:p>
    <w:p w14:paraId="00A0A3AF" w14:textId="77777777" w:rsidR="009F7C6F" w:rsidRPr="004E7946" w:rsidRDefault="009F7C6F" w:rsidP="009F7C6F">
      <w:pPr>
        <w:rPr>
          <w:rFonts w:ascii="Myriad Pro" w:hAnsi="Myriad Pro"/>
          <w:b/>
          <w:bCs/>
          <w:i/>
          <w:iCs/>
        </w:rPr>
      </w:pPr>
      <w:r w:rsidRPr="004E7946">
        <w:rPr>
          <w:rFonts w:ascii="Myriad Pro" w:hAnsi="Myriad Pro"/>
          <w:b/>
          <w:bCs/>
          <w:i/>
          <w:iCs/>
        </w:rPr>
        <w:t>A note about weight changes in the early stages:</w:t>
      </w:r>
    </w:p>
    <w:p w14:paraId="6CDA2ACD" w14:textId="2D5E224B" w:rsidR="00AE71DE" w:rsidRPr="004E7946" w:rsidRDefault="009F7C6F" w:rsidP="00CA31A0">
      <w:pPr>
        <w:rPr>
          <w:rFonts w:ascii="Myriad Pro" w:hAnsi="Myriad Pro"/>
        </w:rPr>
      </w:pPr>
      <w:r w:rsidRPr="004E7946">
        <w:rPr>
          <w:rFonts w:ascii="Myriad Pro" w:hAnsi="Myriad Pro"/>
        </w:rPr>
        <w:t>Your weight will vary</w:t>
      </w:r>
      <w:r w:rsidR="009E271B" w:rsidRPr="004E7946">
        <w:rPr>
          <w:rFonts w:ascii="Myriad Pro" w:hAnsi="Myriad Pro"/>
        </w:rPr>
        <w:t>, sometimes substantially,</w:t>
      </w:r>
      <w:r w:rsidRPr="004E7946">
        <w:rPr>
          <w:rFonts w:ascii="Myriad Pro" w:hAnsi="Myriad Pro"/>
        </w:rPr>
        <w:t xml:space="preserve"> </w:t>
      </w:r>
      <w:r w:rsidR="009E271B" w:rsidRPr="004E7946">
        <w:rPr>
          <w:rFonts w:ascii="Myriad Pro" w:hAnsi="Myriad Pro"/>
        </w:rPr>
        <w:t>f</w:t>
      </w:r>
      <w:r w:rsidRPr="004E7946">
        <w:rPr>
          <w:rFonts w:ascii="Myriad Pro" w:hAnsi="Myriad Pro"/>
        </w:rPr>
        <w:t>rom day to day</w:t>
      </w:r>
      <w:r w:rsidR="009E271B" w:rsidRPr="004E7946">
        <w:rPr>
          <w:rFonts w:ascii="Myriad Pro" w:hAnsi="Myriad Pro"/>
        </w:rPr>
        <w:t xml:space="preserve"> </w:t>
      </w:r>
      <w:r w:rsidRPr="004E7946">
        <w:rPr>
          <w:rFonts w:ascii="Myriad Pro" w:hAnsi="Myriad Pro"/>
        </w:rPr>
        <w:t>particularly early on after your bariatric procedure.  Much of this is due to fluid shifts and particularly dehydration in the first couple of weeks.  If you choose to weigh yourself daily be prepared for some fairly dramatic shifts which can be disconcerting.  Look for changes over weeks rather than days.</w:t>
      </w:r>
    </w:p>
    <w:sectPr w:rsidR="00AE71DE" w:rsidRPr="004E7946" w:rsidSect="004C00D7">
      <w:headerReference w:type="even" r:id="rId8"/>
      <w:headerReference w:type="default" r:id="rId9"/>
      <w:footerReference w:type="even" r:id="rId10"/>
      <w:footerReference w:type="default" r:id="rId11"/>
      <w:headerReference w:type="first" r:id="rId12"/>
      <w:footerReference w:type="first" r:id="rId13"/>
      <w:pgSz w:w="12602" w:h="1602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13F08" w14:textId="77777777" w:rsidR="00FE6168" w:rsidRDefault="00FE6168" w:rsidP="00392AFD">
      <w:pPr>
        <w:spacing w:after="0" w:line="240" w:lineRule="auto"/>
      </w:pPr>
      <w:r>
        <w:separator/>
      </w:r>
    </w:p>
  </w:endnote>
  <w:endnote w:type="continuationSeparator" w:id="0">
    <w:p w14:paraId="170BC282" w14:textId="77777777" w:rsidR="00FE6168" w:rsidRDefault="00FE6168" w:rsidP="0039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C0A2B" w14:textId="77777777" w:rsidR="001E51F6" w:rsidRDefault="001E51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41F2C" w14:textId="77777777" w:rsidR="001E51F6" w:rsidRDefault="001E51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33968" w14:textId="77777777" w:rsidR="001E51F6" w:rsidRDefault="001E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A6A05" w14:textId="77777777" w:rsidR="00FE6168" w:rsidRDefault="00FE6168" w:rsidP="00392AFD">
      <w:pPr>
        <w:spacing w:after="0" w:line="240" w:lineRule="auto"/>
      </w:pPr>
      <w:r>
        <w:separator/>
      </w:r>
    </w:p>
  </w:footnote>
  <w:footnote w:type="continuationSeparator" w:id="0">
    <w:p w14:paraId="15FB42AC" w14:textId="77777777" w:rsidR="00FE6168" w:rsidRDefault="00FE6168" w:rsidP="00392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635A4" w14:textId="77777777" w:rsidR="001E51F6" w:rsidRDefault="001E51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919"/>
      <w:gridCol w:w="4678"/>
    </w:tblGrid>
    <w:tr w:rsidR="00F51C42" w14:paraId="15E50E9D" w14:textId="77777777" w:rsidTr="00464CB5">
      <w:tc>
        <w:tcPr>
          <w:tcW w:w="5318" w:type="dxa"/>
        </w:tcPr>
        <w:p w14:paraId="1B205110" w14:textId="260BF184" w:rsidR="003D3577" w:rsidRDefault="003D3577">
          <w:pPr>
            <w:pStyle w:val="Header"/>
          </w:pPr>
          <w:r>
            <w:rPr>
              <w:noProof/>
            </w:rPr>
            <w:drawing>
              <wp:inline distT="0" distB="0" distL="0" distR="0" wp14:anchorId="333D189D" wp14:editId="1A0F0B49">
                <wp:extent cx="3101109" cy="80264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242594" cy="839260"/>
                        </a:xfrm>
                        <a:prstGeom prst="rect">
                          <a:avLst/>
                        </a:prstGeom>
                      </pic:spPr>
                    </pic:pic>
                  </a:graphicData>
                </a:graphic>
              </wp:inline>
            </w:drawing>
          </w:r>
        </w:p>
      </w:tc>
      <w:tc>
        <w:tcPr>
          <w:tcW w:w="919" w:type="dxa"/>
        </w:tcPr>
        <w:p w14:paraId="41D29C78" w14:textId="77777777" w:rsidR="003D3577" w:rsidRDefault="003D3577">
          <w:pPr>
            <w:pStyle w:val="Header"/>
          </w:pPr>
        </w:p>
      </w:tc>
      <w:tc>
        <w:tcPr>
          <w:tcW w:w="4678" w:type="dxa"/>
        </w:tcPr>
        <w:p w14:paraId="7A35D9A7" w14:textId="77777777" w:rsidR="00464CB5" w:rsidRDefault="00464CB5" w:rsidP="00464CB5">
          <w:pPr>
            <w:pStyle w:val="Header"/>
            <w:rPr>
              <w:b/>
              <w:bCs/>
              <w:noProof/>
              <w:color w:val="0D7671"/>
            </w:rPr>
          </w:pPr>
        </w:p>
        <w:p w14:paraId="6247651B" w14:textId="77777777" w:rsidR="001E51F6" w:rsidRPr="00F51C42" w:rsidRDefault="001E51F6" w:rsidP="001E51F6">
          <w:pPr>
            <w:pStyle w:val="Header"/>
            <w:rPr>
              <w:b/>
              <w:bCs/>
              <w:noProof/>
              <w:color w:val="0D7671"/>
            </w:rPr>
          </w:pPr>
          <w:r w:rsidRPr="00F51C42">
            <w:rPr>
              <w:b/>
              <w:bCs/>
              <w:noProof/>
              <w:color w:val="0D7671"/>
            </w:rPr>
            <w:t>Mr Anthony Clough MBBS FRACS GradCert</w:t>
          </w:r>
        </w:p>
        <w:p w14:paraId="67FEA3FC" w14:textId="77777777" w:rsidR="001E51F6" w:rsidRPr="00AA2466" w:rsidRDefault="001E51F6" w:rsidP="001E51F6">
          <w:pPr>
            <w:pStyle w:val="Header"/>
            <w:rPr>
              <w:b/>
              <w:bCs/>
              <w:color w:val="777664"/>
              <w:sz w:val="18"/>
              <w:szCs w:val="18"/>
            </w:rPr>
          </w:pPr>
          <w:r w:rsidRPr="00AA2466">
            <w:rPr>
              <w:b/>
              <w:bCs/>
              <w:color w:val="777664"/>
              <w:sz w:val="18"/>
              <w:szCs w:val="18"/>
            </w:rPr>
            <w:t>Bariatric, Upper GI &amp; General Surgeon</w:t>
          </w:r>
        </w:p>
        <w:p w14:paraId="2EE5D8F5" w14:textId="77777777" w:rsidR="001E51F6" w:rsidRPr="00AA2466" w:rsidRDefault="001E51F6" w:rsidP="001E51F6">
          <w:pPr>
            <w:pStyle w:val="Header"/>
            <w:rPr>
              <w:b/>
              <w:bCs/>
              <w:noProof/>
              <w:color w:val="777664"/>
              <w:sz w:val="12"/>
              <w:szCs w:val="12"/>
            </w:rPr>
          </w:pPr>
        </w:p>
        <w:p w14:paraId="42C103BF" w14:textId="77777777" w:rsidR="001E51F6" w:rsidRPr="00F51C42" w:rsidRDefault="001E51F6" w:rsidP="001E51F6">
          <w:pPr>
            <w:pStyle w:val="Header"/>
            <w:rPr>
              <w:b/>
              <w:bCs/>
              <w:noProof/>
              <w:color w:val="0D7671"/>
            </w:rPr>
          </w:pPr>
          <w:r>
            <w:rPr>
              <w:b/>
              <w:bCs/>
              <w:noProof/>
              <w:color w:val="0D7671"/>
            </w:rPr>
            <w:t>Ms</w:t>
          </w:r>
          <w:r w:rsidRPr="00F51C42">
            <w:rPr>
              <w:b/>
              <w:bCs/>
              <w:noProof/>
              <w:color w:val="0D7671"/>
            </w:rPr>
            <w:t xml:space="preserve"> </w:t>
          </w:r>
          <w:r>
            <w:rPr>
              <w:b/>
              <w:bCs/>
              <w:noProof/>
              <w:color w:val="0D7671"/>
            </w:rPr>
            <w:t>Patwinder Gill</w:t>
          </w:r>
          <w:r w:rsidRPr="00F51C42">
            <w:rPr>
              <w:b/>
              <w:bCs/>
              <w:noProof/>
              <w:color w:val="0D7671"/>
            </w:rPr>
            <w:t xml:space="preserve"> </w:t>
          </w:r>
          <w:r w:rsidRPr="00E030F6">
            <w:rPr>
              <w:b/>
              <w:bCs/>
              <w:noProof/>
              <w:color w:val="0D7671"/>
              <w:sz w:val="20"/>
              <w:szCs w:val="20"/>
            </w:rPr>
            <w:t xml:space="preserve">MBBS </w:t>
          </w:r>
          <w:r w:rsidRPr="00E030F6">
            <w:rPr>
              <w:b/>
              <w:bCs/>
              <w:noProof/>
              <w:color w:val="0D7671"/>
              <w:sz w:val="18"/>
              <w:szCs w:val="18"/>
            </w:rPr>
            <w:t>PGrad Dip Surg Anat</w:t>
          </w:r>
          <w:r w:rsidRPr="00E030F6">
            <w:rPr>
              <w:b/>
              <w:bCs/>
              <w:noProof/>
              <w:color w:val="0D7671"/>
              <w:sz w:val="20"/>
              <w:szCs w:val="20"/>
            </w:rPr>
            <w:t xml:space="preserve"> FRACS</w:t>
          </w:r>
        </w:p>
        <w:p w14:paraId="47C97046" w14:textId="01B9A0F0" w:rsidR="003D3577" w:rsidRPr="00AA2466" w:rsidRDefault="001E51F6" w:rsidP="001E51F6">
          <w:pPr>
            <w:pStyle w:val="Header"/>
            <w:rPr>
              <w:sz w:val="18"/>
              <w:szCs w:val="18"/>
            </w:rPr>
          </w:pPr>
          <w:r w:rsidRPr="00AA2466">
            <w:rPr>
              <w:b/>
              <w:bCs/>
              <w:color w:val="777664"/>
              <w:sz w:val="18"/>
              <w:szCs w:val="18"/>
            </w:rPr>
            <w:t>Bariatric, Upper GI &amp; General Surgeon</w:t>
          </w:r>
        </w:p>
      </w:tc>
    </w:tr>
    <w:tr w:rsidR="00F51C42" w14:paraId="32EE7331" w14:textId="77777777" w:rsidTr="00464CB5">
      <w:trPr>
        <w:trHeight w:val="280"/>
      </w:trPr>
      <w:tc>
        <w:tcPr>
          <w:tcW w:w="5318" w:type="dxa"/>
        </w:tcPr>
        <w:p w14:paraId="0F6E6711" w14:textId="6406E812" w:rsidR="00F51C42" w:rsidRDefault="00F51C42" w:rsidP="00464CB5">
          <w:pPr>
            <w:pStyle w:val="Header"/>
          </w:pPr>
        </w:p>
      </w:tc>
      <w:tc>
        <w:tcPr>
          <w:tcW w:w="919" w:type="dxa"/>
        </w:tcPr>
        <w:p w14:paraId="1974BC56" w14:textId="77777777" w:rsidR="003D3577" w:rsidRDefault="003D3577">
          <w:pPr>
            <w:pStyle w:val="Header"/>
          </w:pPr>
        </w:p>
      </w:tc>
      <w:tc>
        <w:tcPr>
          <w:tcW w:w="4678" w:type="dxa"/>
        </w:tcPr>
        <w:p w14:paraId="2E69FBD2" w14:textId="4DF3E06D" w:rsidR="003D3577" w:rsidRDefault="003D3577" w:rsidP="00FF4DA3">
          <w:pPr>
            <w:pStyle w:val="Header"/>
          </w:pPr>
        </w:p>
      </w:tc>
    </w:tr>
  </w:tbl>
  <w:p w14:paraId="32E19021" w14:textId="77777777" w:rsidR="008422E1" w:rsidRDefault="008422E1" w:rsidP="00464CB5">
    <w:pPr>
      <w:pStyle w:val="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E40C" w14:textId="77777777" w:rsidR="001E51F6" w:rsidRDefault="001E5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A94F66"/>
    <w:multiLevelType w:val="hybridMultilevel"/>
    <w:tmpl w:val="EFEE3F7C"/>
    <w:lvl w:ilvl="0" w:tplc="0C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3C765D4"/>
    <w:multiLevelType w:val="hybridMultilevel"/>
    <w:tmpl w:val="8BBAF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CB75902"/>
    <w:multiLevelType w:val="hybridMultilevel"/>
    <w:tmpl w:val="7CCE5476"/>
    <w:lvl w:ilvl="0" w:tplc="0C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20499926">
    <w:abstractNumId w:val="2"/>
  </w:num>
  <w:num w:numId="2" w16cid:durableId="1174420847">
    <w:abstractNumId w:val="1"/>
  </w:num>
  <w:num w:numId="3" w16cid:durableId="491415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9E"/>
    <w:rsid w:val="000625A8"/>
    <w:rsid w:val="00063F89"/>
    <w:rsid w:val="00067A53"/>
    <w:rsid w:val="0008789E"/>
    <w:rsid w:val="000A4571"/>
    <w:rsid w:val="000A5B39"/>
    <w:rsid w:val="00163D85"/>
    <w:rsid w:val="001E51F6"/>
    <w:rsid w:val="00225939"/>
    <w:rsid w:val="00231444"/>
    <w:rsid w:val="00232A18"/>
    <w:rsid w:val="002456D8"/>
    <w:rsid w:val="00326DE8"/>
    <w:rsid w:val="00392AFD"/>
    <w:rsid w:val="003C0610"/>
    <w:rsid w:val="003D3577"/>
    <w:rsid w:val="00464CB5"/>
    <w:rsid w:val="004C00D7"/>
    <w:rsid w:val="004E7946"/>
    <w:rsid w:val="00575253"/>
    <w:rsid w:val="005A04C0"/>
    <w:rsid w:val="007F3A6F"/>
    <w:rsid w:val="00802F03"/>
    <w:rsid w:val="008422E1"/>
    <w:rsid w:val="00861EA7"/>
    <w:rsid w:val="00865305"/>
    <w:rsid w:val="008F48E8"/>
    <w:rsid w:val="009931C7"/>
    <w:rsid w:val="009E271B"/>
    <w:rsid w:val="009F7C6F"/>
    <w:rsid w:val="00A520FC"/>
    <w:rsid w:val="00A77A27"/>
    <w:rsid w:val="00AA2466"/>
    <w:rsid w:val="00AE71DE"/>
    <w:rsid w:val="00AF773C"/>
    <w:rsid w:val="00BC4884"/>
    <w:rsid w:val="00CA31A0"/>
    <w:rsid w:val="00CA5D7F"/>
    <w:rsid w:val="00D03BCD"/>
    <w:rsid w:val="00D165DD"/>
    <w:rsid w:val="00D64671"/>
    <w:rsid w:val="00DA2987"/>
    <w:rsid w:val="00DC29B2"/>
    <w:rsid w:val="00E13479"/>
    <w:rsid w:val="00F4253C"/>
    <w:rsid w:val="00F51C42"/>
    <w:rsid w:val="00FE568C"/>
    <w:rsid w:val="00FE6168"/>
    <w:rsid w:val="00FF4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AB5AA"/>
  <w15:chartTrackingRefBased/>
  <w15:docId w15:val="{8E297427-D11C-45F6-9E1F-333E714F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A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AFD"/>
  </w:style>
  <w:style w:type="paragraph" w:styleId="Footer">
    <w:name w:val="footer"/>
    <w:basedOn w:val="Normal"/>
    <w:link w:val="FooterChar"/>
    <w:uiPriority w:val="99"/>
    <w:unhideWhenUsed/>
    <w:rsid w:val="00392A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AFD"/>
  </w:style>
  <w:style w:type="table" w:styleId="TableGrid">
    <w:name w:val="Table Grid"/>
    <w:basedOn w:val="TableNormal"/>
    <w:uiPriority w:val="39"/>
    <w:rsid w:val="00993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3577"/>
    <w:rPr>
      <w:color w:val="0563C1" w:themeColor="hyperlink"/>
      <w:u w:val="single"/>
    </w:rPr>
  </w:style>
  <w:style w:type="character" w:styleId="UnresolvedMention">
    <w:name w:val="Unresolved Mention"/>
    <w:basedOn w:val="DefaultParagraphFont"/>
    <w:uiPriority w:val="99"/>
    <w:semiHidden/>
    <w:unhideWhenUsed/>
    <w:rsid w:val="003D3577"/>
    <w:rPr>
      <w:color w:val="605E5C"/>
      <w:shd w:val="clear" w:color="auto" w:fill="E1DFDD"/>
    </w:rPr>
  </w:style>
  <w:style w:type="paragraph" w:styleId="ListParagraph">
    <w:name w:val="List Paragraph"/>
    <w:basedOn w:val="Normal"/>
    <w:uiPriority w:val="34"/>
    <w:qFormat/>
    <w:rsid w:val="00D16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DA7D1-96E8-4F64-AA91-BD544AF3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Clough</dc:creator>
  <cp:keywords/>
  <dc:description/>
  <cp:lastModifiedBy>Clough Family</cp:lastModifiedBy>
  <cp:revision>4</cp:revision>
  <dcterms:created xsi:type="dcterms:W3CDTF">2024-10-16T05:09:00Z</dcterms:created>
  <dcterms:modified xsi:type="dcterms:W3CDTF">2024-10-16T05:48:00Z</dcterms:modified>
</cp:coreProperties>
</file>